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D124" w14:textId="77777777" w:rsidR="001165EA" w:rsidRPr="001165EA" w:rsidRDefault="001165EA" w:rsidP="001165EA">
      <w:pPr>
        <w:pStyle w:val="a10"/>
        <w:spacing w:line="240" w:lineRule="atLeast"/>
        <w:ind w:leftChars="70" w:left="168" w:right="221" w:firstLineChars="50" w:firstLine="140"/>
        <w:jc w:val="left"/>
        <w:rPr>
          <w:rFonts w:ascii="Arial" w:eastAsia="標楷體" w:cs="Arial"/>
          <w:b/>
          <w:bCs/>
          <w:sz w:val="28"/>
          <w:szCs w:val="28"/>
        </w:rPr>
      </w:pPr>
      <w:r w:rsidRPr="001165EA">
        <w:rPr>
          <w:rFonts w:ascii="Arial" w:eastAsia="標楷體" w:cs="Arial" w:hint="eastAsia"/>
          <w:b/>
          <w:bCs/>
          <w:sz w:val="28"/>
          <w:szCs w:val="28"/>
        </w:rPr>
        <w:t>主要股東名單</w:t>
      </w:r>
    </w:p>
    <w:p w14:paraId="384B03E9" w14:textId="3E9A1BBC" w:rsidR="001165EA" w:rsidRPr="00B703B8" w:rsidRDefault="001165EA" w:rsidP="001165EA">
      <w:pPr>
        <w:pStyle w:val="a10"/>
        <w:spacing w:line="240" w:lineRule="atLeast"/>
        <w:ind w:leftChars="70" w:left="168" w:right="221" w:firstLineChars="50" w:firstLine="100"/>
        <w:jc w:val="right"/>
        <w:rPr>
          <w:rFonts w:ascii="Arial" w:eastAsia="標楷體" w:cs="Arial" w:hint="eastAsia"/>
          <w:sz w:val="20"/>
        </w:rPr>
      </w:pPr>
      <w:r w:rsidRPr="00B703B8">
        <w:rPr>
          <w:rFonts w:ascii="Arial" w:eastAsia="標楷體" w:cs="Arial" w:hint="eastAsia"/>
          <w:sz w:val="20"/>
        </w:rPr>
        <w:t>單位：股；</w:t>
      </w:r>
      <w:r w:rsidRPr="00B703B8">
        <w:rPr>
          <w:rFonts w:ascii="Arial" w:eastAsia="標楷體" w:cs="Arial"/>
          <w:sz w:val="20"/>
        </w:rPr>
        <w:t>11</w:t>
      </w:r>
      <w:r w:rsidRPr="00B703B8">
        <w:rPr>
          <w:rFonts w:ascii="Arial" w:eastAsia="標楷體" w:cs="Arial" w:hint="eastAsia"/>
          <w:sz w:val="20"/>
        </w:rPr>
        <w:t>4</w:t>
      </w:r>
      <w:r w:rsidRPr="00B703B8">
        <w:rPr>
          <w:rFonts w:ascii="Arial" w:eastAsia="標楷體" w:cs="Arial" w:hint="eastAsia"/>
          <w:sz w:val="20"/>
        </w:rPr>
        <w:t>年</w:t>
      </w:r>
      <w:r w:rsidRPr="00B703B8">
        <w:rPr>
          <w:rFonts w:ascii="Arial" w:eastAsia="標楷體" w:cs="Arial" w:hint="eastAsia"/>
          <w:sz w:val="20"/>
        </w:rPr>
        <w:t>5</w:t>
      </w:r>
      <w:r w:rsidRPr="00B703B8">
        <w:rPr>
          <w:rFonts w:ascii="Arial" w:eastAsia="標楷體" w:cs="Arial" w:hint="eastAsia"/>
          <w:sz w:val="20"/>
        </w:rPr>
        <w:t>月</w:t>
      </w:r>
      <w:r w:rsidRPr="00B703B8">
        <w:rPr>
          <w:rFonts w:ascii="Arial" w:eastAsia="標楷體" w:cs="Arial" w:hint="eastAsia"/>
          <w:sz w:val="20"/>
        </w:rPr>
        <w:t>2</w:t>
      </w:r>
      <w:r w:rsidRPr="00B703B8">
        <w:rPr>
          <w:rFonts w:ascii="Arial" w:eastAsia="標楷體" w:cs="Arial" w:hint="eastAsia"/>
          <w:sz w:val="20"/>
        </w:rPr>
        <w:t>日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0"/>
        <w:gridCol w:w="1701"/>
        <w:gridCol w:w="1407"/>
      </w:tblGrid>
      <w:tr w:rsidR="001165EA" w:rsidRPr="00B703B8" w14:paraId="6B0A4824" w14:textId="77777777" w:rsidTr="005D4958">
        <w:trPr>
          <w:trHeight w:val="637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34F63A5" w14:textId="77777777" w:rsidR="001165EA" w:rsidRPr="00B703B8" w:rsidRDefault="001165EA" w:rsidP="005D4958">
            <w:pPr>
              <w:widowControl/>
              <w:wordWrap w:val="0"/>
              <w:spacing w:line="0" w:lineRule="atLeast"/>
              <w:ind w:rightChars="38" w:right="91"/>
              <w:jc w:val="right"/>
              <w:rPr>
                <w:rFonts w:cs="Arial"/>
                <w:kern w:val="0"/>
                <w:szCs w:val="24"/>
              </w:rPr>
            </w:pPr>
            <w:bookmarkStart w:id="0" w:name="_Hlk190332339"/>
            <w:r w:rsidRPr="00B703B8">
              <w:rPr>
                <w:rFonts w:cs="Arial" w:hint="eastAsia"/>
                <w:kern w:val="0"/>
                <w:szCs w:val="24"/>
              </w:rPr>
              <w:t>股</w:t>
            </w:r>
            <w:r w:rsidRPr="00B703B8">
              <w:rPr>
                <w:rFonts w:cs="Arial"/>
                <w:kern w:val="0"/>
                <w:szCs w:val="24"/>
              </w:rPr>
              <w:t xml:space="preserve">    </w:t>
            </w:r>
            <w:r w:rsidRPr="00B703B8">
              <w:rPr>
                <w:rFonts w:cs="Arial" w:hint="eastAsia"/>
                <w:kern w:val="0"/>
                <w:szCs w:val="24"/>
              </w:rPr>
              <w:t>份</w:t>
            </w:r>
          </w:p>
          <w:p w14:paraId="37AE7B7F" w14:textId="77777777" w:rsidR="001165EA" w:rsidRPr="00B703B8" w:rsidRDefault="001165EA" w:rsidP="005D4958">
            <w:pPr>
              <w:widowControl/>
              <w:spacing w:line="0" w:lineRule="atLeast"/>
              <w:ind w:leftChars="38" w:left="91"/>
              <w:jc w:val="both"/>
              <w:rPr>
                <w:rFonts w:cs="Arial"/>
                <w:kern w:val="0"/>
                <w:szCs w:val="24"/>
              </w:rPr>
            </w:pPr>
            <w:r w:rsidRPr="00B703B8">
              <w:rPr>
                <w:rFonts w:cs="Arial" w:hint="eastAsia"/>
                <w:kern w:val="0"/>
                <w:szCs w:val="24"/>
              </w:rPr>
              <w:t>主要股東名稱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6B6" w14:textId="77777777" w:rsidR="001165EA" w:rsidRPr="00B703B8" w:rsidRDefault="001165EA" w:rsidP="005D4958">
            <w:pPr>
              <w:widowControl/>
              <w:spacing w:line="0" w:lineRule="atLeast"/>
              <w:jc w:val="center"/>
              <w:rPr>
                <w:rFonts w:cs="Arial"/>
                <w:kern w:val="0"/>
                <w:szCs w:val="24"/>
              </w:rPr>
            </w:pPr>
            <w:r w:rsidRPr="00B703B8">
              <w:rPr>
                <w:rFonts w:cs="Arial" w:hint="eastAsia"/>
                <w:kern w:val="0"/>
                <w:szCs w:val="24"/>
              </w:rPr>
              <w:t>持有股數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A35" w14:textId="77777777" w:rsidR="001165EA" w:rsidRPr="00B703B8" w:rsidRDefault="001165EA" w:rsidP="005D4958">
            <w:pPr>
              <w:widowControl/>
              <w:spacing w:line="0" w:lineRule="atLeast"/>
              <w:jc w:val="center"/>
              <w:rPr>
                <w:rFonts w:cs="Arial"/>
                <w:kern w:val="0"/>
                <w:szCs w:val="24"/>
              </w:rPr>
            </w:pPr>
            <w:r w:rsidRPr="00B703B8">
              <w:rPr>
                <w:rFonts w:cs="Arial" w:hint="eastAsia"/>
                <w:kern w:val="0"/>
                <w:szCs w:val="24"/>
              </w:rPr>
              <w:t>持股比例</w:t>
            </w:r>
          </w:p>
        </w:tc>
      </w:tr>
      <w:tr w:rsidR="001165EA" w:rsidRPr="00B703B8" w14:paraId="51DDE564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4B5" w14:textId="60D31762" w:rsidR="001165EA" w:rsidRPr="00B703B8" w:rsidRDefault="001165EA" w:rsidP="005D4958">
            <w:pPr>
              <w:widowControl/>
              <w:rPr>
                <w:rFonts w:ascii="標楷體" w:hAnsi="標楷體" w:cs="Arial"/>
                <w:kern w:val="0"/>
                <w:szCs w:val="24"/>
              </w:rPr>
            </w:pPr>
            <w:r w:rsidRPr="00B703B8">
              <w:rPr>
                <w:rFonts w:ascii="標楷體" w:hAnsi="標楷體" w:hint="eastAsia"/>
                <w:szCs w:val="24"/>
              </w:rPr>
              <w:t>林文煌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FF53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color w:val="000000"/>
                <w:szCs w:val="24"/>
              </w:rPr>
              <w:t>3,261,901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D623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2.89%</w:t>
            </w:r>
          </w:p>
        </w:tc>
      </w:tr>
      <w:tr w:rsidR="001165EA" w:rsidRPr="00B703B8" w14:paraId="356E5BF0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14A7" w14:textId="1D34F706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ascii="標楷體" w:hAnsi="標楷體" w:hint="eastAsia"/>
                <w:szCs w:val="24"/>
              </w:rPr>
              <w:t>王慶棟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705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color w:val="000000"/>
                <w:szCs w:val="24"/>
              </w:rPr>
              <w:t>1,800,000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60F5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1.60%</w:t>
            </w:r>
          </w:p>
        </w:tc>
      </w:tr>
      <w:tr w:rsidR="001165EA" w:rsidRPr="00B703B8" w14:paraId="3C9A9F18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E438" w14:textId="77777777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花旗託管柏克萊資本</w:t>
            </w:r>
            <w:r w:rsidRPr="00B703B8">
              <w:rPr>
                <w:rFonts w:cs="Arial"/>
                <w:szCs w:val="24"/>
              </w:rPr>
              <w:t>SBL/PB</w:t>
            </w:r>
            <w:r w:rsidRPr="00B703B8">
              <w:rPr>
                <w:rFonts w:cs="Arial"/>
                <w:szCs w:val="24"/>
              </w:rPr>
              <w:t>投資專戶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36FA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731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C740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 w:hint="eastAsia"/>
                <w:szCs w:val="24"/>
              </w:rPr>
              <w:t>1.54%</w:t>
            </w:r>
          </w:p>
        </w:tc>
      </w:tr>
      <w:tr w:rsidR="001165EA" w:rsidRPr="00B703B8" w14:paraId="0D8F8AAD" w14:textId="77777777" w:rsidTr="005D4958">
        <w:trPr>
          <w:trHeight w:val="374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2214" w14:textId="037D6FA7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卓慧文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23F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color w:val="000000"/>
                <w:szCs w:val="24"/>
              </w:rPr>
              <w:t>1,508,000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A195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1.34%</w:t>
            </w:r>
          </w:p>
        </w:tc>
      </w:tr>
      <w:tr w:rsidR="001165EA" w:rsidRPr="00B703B8" w14:paraId="729E1320" w14:textId="77777777" w:rsidTr="005D4958">
        <w:trPr>
          <w:trHeight w:val="374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D581" w14:textId="31A32CBC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陳金鈿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AB7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470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4B0D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1.</w:t>
            </w:r>
            <w:r w:rsidRPr="00B703B8">
              <w:rPr>
                <w:rFonts w:cs="Arial" w:hint="eastAsia"/>
                <w:szCs w:val="24"/>
              </w:rPr>
              <w:t>30</w:t>
            </w:r>
            <w:r w:rsidRPr="00B703B8">
              <w:rPr>
                <w:rFonts w:cs="Arial"/>
                <w:szCs w:val="24"/>
              </w:rPr>
              <w:t>%</w:t>
            </w:r>
          </w:p>
        </w:tc>
      </w:tr>
      <w:tr w:rsidR="001165EA" w:rsidRPr="00B703B8" w14:paraId="0FBE1193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7EC" w14:textId="5AF72072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張寶銘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B7F7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258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79C4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1.</w:t>
            </w:r>
            <w:r w:rsidRPr="00B703B8">
              <w:rPr>
                <w:rFonts w:cs="Arial" w:hint="eastAsia"/>
                <w:szCs w:val="24"/>
              </w:rPr>
              <w:t>12</w:t>
            </w:r>
            <w:r w:rsidRPr="00B703B8">
              <w:rPr>
                <w:rFonts w:cs="Arial"/>
                <w:szCs w:val="24"/>
              </w:rPr>
              <w:t>%</w:t>
            </w:r>
          </w:p>
        </w:tc>
      </w:tr>
      <w:tr w:rsidR="001165EA" w:rsidRPr="00B703B8" w14:paraId="773EA275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DED1" w14:textId="77777777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花旗託管瑞銀歐洲</w:t>
            </w:r>
            <w:r w:rsidRPr="00B703B8">
              <w:rPr>
                <w:rFonts w:cs="Arial"/>
                <w:szCs w:val="24"/>
              </w:rPr>
              <w:t>SE</w:t>
            </w:r>
            <w:r w:rsidRPr="00B703B8">
              <w:rPr>
                <w:rFonts w:cs="Arial"/>
                <w:szCs w:val="24"/>
              </w:rPr>
              <w:t>投資專戶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40E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079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484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ACC3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 w:hint="eastAsia"/>
                <w:szCs w:val="24"/>
              </w:rPr>
              <w:t>0.96%</w:t>
            </w:r>
          </w:p>
        </w:tc>
      </w:tr>
      <w:tr w:rsidR="001165EA" w:rsidRPr="00B703B8" w14:paraId="54F9B9F3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58BE" w14:textId="77777777" w:rsidR="001165EA" w:rsidRPr="00B703B8" w:rsidRDefault="001165EA" w:rsidP="005D4958">
            <w:pPr>
              <w:rPr>
                <w:rFonts w:ascii="標楷體" w:hAnsi="標楷體" w:cs="Arial"/>
                <w:sz w:val="20"/>
              </w:rPr>
            </w:pPr>
            <w:proofErr w:type="gramStart"/>
            <w:r w:rsidRPr="00B703B8">
              <w:rPr>
                <w:rFonts w:ascii="標楷體" w:hAnsi="標楷體" w:cs="Arial" w:hint="eastAsia"/>
                <w:sz w:val="20"/>
              </w:rPr>
              <w:t>匯</w:t>
            </w:r>
            <w:proofErr w:type="gramEnd"/>
            <w:r w:rsidRPr="00B703B8">
              <w:rPr>
                <w:rFonts w:ascii="標楷體" w:hAnsi="標楷體" w:cs="Arial" w:hint="eastAsia"/>
                <w:sz w:val="20"/>
              </w:rPr>
              <w:t>豐(台灣)商業銀行股份有限公司受託保管美林國際公司投資專戶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CC7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938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6A45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 w:hint="eastAsia"/>
                <w:szCs w:val="24"/>
              </w:rPr>
              <w:t>0.83%</w:t>
            </w:r>
          </w:p>
        </w:tc>
      </w:tr>
      <w:tr w:rsidR="001165EA" w:rsidRPr="00B703B8" w14:paraId="7739CAC9" w14:textId="77777777" w:rsidTr="005D4958">
        <w:trPr>
          <w:trHeight w:val="373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73CD" w14:textId="77777777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鄭朝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EC0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901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112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6D32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 w:hint="eastAsia"/>
                <w:szCs w:val="24"/>
              </w:rPr>
              <w:t>0.80%</w:t>
            </w:r>
          </w:p>
        </w:tc>
      </w:tr>
      <w:tr w:rsidR="001165EA" w:rsidRPr="00B703B8" w14:paraId="4ACF4932" w14:textId="77777777" w:rsidTr="005D4958">
        <w:trPr>
          <w:trHeight w:val="374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86FD" w14:textId="77777777" w:rsidR="001165EA" w:rsidRPr="00B703B8" w:rsidRDefault="001165EA" w:rsidP="005D4958">
            <w:pPr>
              <w:rPr>
                <w:rFonts w:ascii="標楷體" w:hAnsi="標楷體" w:cs="Arial"/>
                <w:szCs w:val="24"/>
              </w:rPr>
            </w:pPr>
            <w:r w:rsidRPr="00B703B8">
              <w:rPr>
                <w:rFonts w:cs="Arial"/>
                <w:szCs w:val="24"/>
              </w:rPr>
              <w:t>張雅雯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F6B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/>
                <w:szCs w:val="24"/>
              </w:rPr>
              <w:t>855</w:t>
            </w:r>
            <w:r w:rsidRPr="00B703B8">
              <w:rPr>
                <w:rFonts w:cs="Arial" w:hint="eastAsia"/>
                <w:szCs w:val="24"/>
              </w:rPr>
              <w:t>,</w:t>
            </w:r>
            <w:r w:rsidRPr="00B703B8">
              <w:rPr>
                <w:rFonts w:cs="Arial"/>
                <w:szCs w:val="24"/>
              </w:rPr>
              <w:t>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F14A" w14:textId="77777777" w:rsidR="001165EA" w:rsidRPr="00B703B8" w:rsidRDefault="001165EA" w:rsidP="005D4958">
            <w:pPr>
              <w:jc w:val="right"/>
              <w:rPr>
                <w:rFonts w:cs="Arial"/>
                <w:szCs w:val="24"/>
              </w:rPr>
            </w:pPr>
            <w:r w:rsidRPr="00B703B8">
              <w:rPr>
                <w:rFonts w:cs="Arial" w:hint="eastAsia"/>
                <w:szCs w:val="24"/>
              </w:rPr>
              <w:t>0.76%</w:t>
            </w:r>
          </w:p>
        </w:tc>
      </w:tr>
      <w:bookmarkEnd w:id="0"/>
    </w:tbl>
    <w:p w14:paraId="3E5C8798" w14:textId="77777777" w:rsidR="0039072D" w:rsidRDefault="0039072D"/>
    <w:sectPr w:rsidR="0039072D" w:rsidSect="001165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EA"/>
    <w:rsid w:val="001165EA"/>
    <w:rsid w:val="0039072D"/>
    <w:rsid w:val="005148DC"/>
    <w:rsid w:val="007855FE"/>
    <w:rsid w:val="00F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66BC"/>
  <w15:chartTrackingRefBased/>
  <w15:docId w15:val="{CF3D0184-FBC0-45FF-8566-C661EBD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EA"/>
    <w:pPr>
      <w:widowControl w:val="0"/>
      <w:spacing w:after="0" w:line="240" w:lineRule="auto"/>
    </w:pPr>
    <w:rPr>
      <w:rFonts w:ascii="Arial" w:eastAsia="標楷體" w:hAnsi="Arial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5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165E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5E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5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5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5E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5E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5E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rsid w:val="001165E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65E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65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65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65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6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1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5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165EA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5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165EA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1165E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16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16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5EA"/>
    <w:rPr>
      <w:b/>
      <w:bCs/>
      <w:smallCaps/>
      <w:color w:val="2F5496" w:themeColor="accent1" w:themeShade="BF"/>
      <w:spacing w:val="5"/>
    </w:rPr>
  </w:style>
  <w:style w:type="paragraph" w:customStyle="1" w:styleId="a10">
    <w:name w:val="項目:(一)[a]1."/>
    <w:basedOn w:val="a"/>
    <w:rsid w:val="001165EA"/>
    <w:pPr>
      <w:snapToGrid w:val="0"/>
      <w:spacing w:line="320" w:lineRule="atLeast"/>
      <w:ind w:left="771" w:hanging="170"/>
      <w:jc w:val="both"/>
    </w:pPr>
    <w:rPr>
      <w:rFonts w:ascii="Times New Roman" w:eastAsia="細明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KaoAnnie</dc:creator>
  <cp:keywords/>
  <dc:description/>
  <cp:lastModifiedBy>KaoAnnie</cp:lastModifiedBy>
  <cp:revision>1</cp:revision>
  <dcterms:created xsi:type="dcterms:W3CDTF">2025-12-04T05:42:00Z</dcterms:created>
  <dcterms:modified xsi:type="dcterms:W3CDTF">2025-12-04T05:47:00Z</dcterms:modified>
</cp:coreProperties>
</file>